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  <w:lang w:eastAsia="ru-RU"/>
        </w:rPr>
        <w:drawing xmlns:mc="http://schemas.openxmlformats.org/markup-compatibility/2006">
          <wp:anchor allowOverlap="1" behindDoc="0" distT="0" distB="0" distL="114300" distR="114300" layoutInCell="1" locked="0" relativeHeight="251658240" simplePos="0">
            <wp:simplePos x="0" y="0"/>
            <wp:positionH relativeFrom="column">
              <wp:posOffset>-116205</wp:posOffset>
            </wp:positionH>
            <wp:positionV relativeFrom="paragraph">
              <wp:posOffset>43815</wp:posOffset>
            </wp:positionV>
            <wp:extent cx="1085850" cy="1085850"/>
            <wp:effectExtent l="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Arial" w:cs="Arial" w:hAnsi="Arial"/>
          <w:b/>
          <w:i/>
          <w:color w:val="3a8660"/>
          <w:sz w:val="30"/>
          <w:szCs w:val="30"/>
        </w:rPr>
      </w:pPr>
      <w:r>
        <w:rPr>
          <w:rFonts w:ascii="Arial" w:cs="Arial" w:hAnsi="Arial"/>
          <w:b/>
          <w:i/>
          <w:color w:val="3a8660"/>
          <w:sz w:val="30"/>
          <w:szCs w:val="30"/>
        </w:rPr>
        <w:t>Клиническая ревматологическая</w:t>
      </w:r>
    </w:p>
    <w:p>
      <w:pPr>
        <w:spacing w:after="0" w:line="240" w:lineRule="auto"/>
        <w:rPr>
          <w:rFonts w:ascii="Arial" w:cs="Arial" w:hAnsi="Arial"/>
          <w:b/>
          <w:i/>
          <w:color w:val="3a8660"/>
          <w:sz w:val="30"/>
          <w:szCs w:val="30"/>
        </w:rPr>
      </w:pPr>
      <w:r>
        <w:rPr>
          <w:rFonts w:ascii="Arial" w:cs="Arial" w:hAnsi="Arial"/>
          <w:b/>
          <w:i/>
          <w:color w:val="3a8660"/>
          <w:sz w:val="30"/>
          <w:szCs w:val="30"/>
        </w:rPr>
        <w:t>больница №25 им. В.А. Насоновой</w:t>
      </w:r>
    </w:p>
    <w:p>
      <w:pPr>
        <w:spacing w:after="0"/>
        <w:rPr>
          <w:rFonts w:ascii="Times New Roman" w:cs="Times New Roman" w:hAnsi="Times New Roman"/>
          <w:b/>
          <w:sz w:val="26"/>
          <w:szCs w:val="26"/>
        </w:rPr>
      </w:pPr>
    </w:p>
    <w:p>
      <w:pPr>
        <w:rPr>
          <w:rFonts w:ascii="Times New Roman" w:cs="Times New Roman" w:hAnsi="Times New Roman"/>
          <w:b/>
          <w:sz w:val="26"/>
          <w:szCs w:val="26"/>
        </w:rPr>
      </w:pPr>
    </w:p>
    <w:p>
      <w:pPr>
        <w:spacing w:after="0"/>
        <w:ind w:right="424"/>
        <w:jc w:val="center"/>
        <w:rPr>
          <w:rFonts w:ascii="Times New Roman" w:cs="Times New Roman" w:hAnsi="Times New Roman"/>
          <w:b/>
          <w:color w:val="3a8660"/>
          <w:sz w:val="32"/>
          <w:szCs w:val="32"/>
        </w:rPr>
      </w:pPr>
      <w:r>
        <w:rPr>
          <w:rFonts w:ascii="Times New Roman" w:cs="Times New Roman" w:hAnsi="Times New Roman"/>
          <w:b/>
          <w:color w:val="3a8660"/>
          <w:sz w:val="32"/>
          <w:szCs w:val="32"/>
        </w:rPr>
        <w:t>Пакет документов для госпитализации</w:t>
      </w:r>
      <w:r>
        <w:rPr>
          <w:rFonts w:ascii="Times New Roman" w:cs="Times New Roman" w:hAnsi="Times New Roman"/>
          <w:b/>
          <w:color w:val="3a8660"/>
          <w:sz w:val="32"/>
          <w:szCs w:val="32"/>
        </w:rPr>
        <w:t xml:space="preserve"> в </w:t>
      </w:r>
    </w:p>
    <w:p>
      <w:pPr>
        <w:spacing w:after="0"/>
        <w:ind w:right="424"/>
        <w:jc w:val="center"/>
        <w:rPr>
          <w:rFonts w:ascii="Times New Roman" w:cs="Times New Roman" w:hAnsi="Times New Roman"/>
          <w:b/>
          <w:color w:val="3a8660"/>
          <w:sz w:val="20"/>
          <w:szCs w:val="20"/>
        </w:rPr>
      </w:pPr>
      <w:r>
        <w:rPr>
          <w:rFonts w:ascii="Times New Roman" w:cs="Times New Roman" w:hAnsi="Times New Roman"/>
          <w:b/>
          <w:color w:val="3a8660"/>
          <w:sz w:val="32"/>
          <w:szCs w:val="32"/>
        </w:rPr>
        <w:t>СПб ГБУЗ «</w:t>
      </w:r>
      <w:r>
        <w:rPr>
          <w:rFonts w:ascii="Times New Roman" w:cs="Times New Roman" w:hAnsi="Times New Roman"/>
          <w:b/>
          <w:color w:val="3a8660"/>
          <w:sz w:val="32"/>
          <w:szCs w:val="32"/>
        </w:rPr>
        <w:t>КРБ им. В.А. Насоновой</w:t>
      </w:r>
      <w:r>
        <w:rPr>
          <w:rFonts w:ascii="Times New Roman" w:cs="Times New Roman" w:hAnsi="Times New Roman"/>
          <w:b/>
          <w:color w:val="3a8660"/>
          <w:sz w:val="32"/>
          <w:szCs w:val="32"/>
        </w:rPr>
        <w:t>»</w:t>
      </w:r>
    </w:p>
    <w:p>
      <w:p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</w:p>
    <w:p>
      <w:pPr>
        <w:numPr>
          <w:ilvl w:val="0"/>
          <w:numId w:val="12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Направление на госпитализацию из поликлиники по месту жительства (к которой Вы прикреплены по полису ОМС) по форме № 057/у-04 с угловым штампом, печатью направляющего учреждения и личной печатью врача. Обратите внимание, что на направлении должны стоять 3 печати (штамп учреждения, печать для справок и печать лечащего врача)!</w:t>
      </w:r>
    </w:p>
    <w:p>
      <w:pPr>
        <w:numPr>
          <w:ilvl w:val="0"/>
          <w:numId w:val="12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Паспорт РФ;</w:t>
      </w:r>
    </w:p>
    <w:p>
      <w:pPr>
        <w:numPr>
          <w:ilvl w:val="0"/>
          <w:numId w:val="12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Действующий полис ОМС;</w:t>
      </w:r>
    </w:p>
    <w:p>
      <w:pPr>
        <w:numPr>
          <w:ilvl w:val="0"/>
          <w:numId w:val="12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СНИЛС (страховой номер индивидуального лицевого счета в системе обязательного пенсионного страхования РФ);</w:t>
      </w:r>
    </w:p>
    <w:p>
      <w:pPr>
        <w:numPr>
          <w:ilvl w:val="0"/>
          <w:numId w:val="12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Флюорография (рентгенография или компьютерная томография) органов грудной клетки.  На момент госпитализации предоставить описание и пленки/диски со снимками грудной клетки.  Срок годности — 1 год. </w:t>
      </w:r>
    </w:p>
    <w:p>
      <w:pPr>
        <w:numPr>
          <w:ilvl w:val="0"/>
          <w:numId w:val="12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Результаты лабораторных исследований:</w:t>
      </w:r>
    </w:p>
    <w:p>
      <w:pPr>
        <w:pBdr>
          <w:bottom w:val="single" w:color="auto" w:sz="4" w:space="1"/>
        </w:pBdr>
        <w:shd w:val="clear" w:color="auto" w:fill="ffffff"/>
        <w:spacing w:after="0" w:line="360" w:lineRule="auto"/>
        <w:ind w:left="0" w:right="0" w:firstLine="0"/>
        <w:rPr>
          <w:rFonts w:ascii="Times New Roman" w:cs="Times New Roman" w:hAnsi="Times New Roman"/>
        </w:rPr>
      </w:pPr>
    </w:p>
    <w:p>
      <w:pPr>
        <w:numPr>
          <w:ilvl w:val="0"/>
          <w:numId w:val="19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клинический анализ крови с тромбоцитами, лейкоцитарной формулой, СОЭ (срок годности 2 месяца);</w:t>
      </w:r>
    </w:p>
    <w:p>
      <w:pPr>
        <w:numPr>
          <w:ilvl w:val="0"/>
          <w:numId w:val="18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общий анализ мочи (срок годности 2 месяца);</w:t>
      </w:r>
    </w:p>
    <w:p>
      <w:pPr>
        <w:numPr>
          <w:ilvl w:val="0"/>
          <w:numId w:val="18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анализ крови на RW или микрореакция  (срок годности 6 месяцев);</w:t>
      </w:r>
    </w:p>
    <w:p>
      <w:pPr>
        <w:numPr>
          <w:ilvl w:val="0"/>
          <w:numId w:val="18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анализ крови на маркеры гепатитов В и С (HBsAg и antiHCV) (срок годности 6 месяцев в случае отсутствия за указанный период санации зубов, оперативных и иных инвазивных вмешательств);</w:t>
      </w:r>
    </w:p>
    <w:p>
      <w:pPr>
        <w:numPr>
          <w:ilvl w:val="0"/>
          <w:numId w:val="18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анализ крови на ВИЧ (форма 50) (срок годности 6 месяце в случае отсутствия       за указанный период санации зубов, оперативных и иных инвазивных вмешательств);</w:t>
      </w:r>
    </w:p>
    <w:p>
      <w:pPr>
        <w:numPr>
          <w:ilvl w:val="0"/>
          <w:numId w:val="18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ЭКГ (срок годности 6 месяцев) – на момент госпитализации иметь при себе ЭКГ-пленку;</w:t>
      </w:r>
    </w:p>
    <w:p>
      <w:pPr>
        <w:numPr>
          <w:ilvl w:val="0"/>
          <w:numId w:val="18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для женщин – заключение гинеколога давностью не больше 1 года (при наличии патологии – желательно указание возможности проведения физиотерапии);</w:t>
      </w:r>
    </w:p>
    <w:p>
      <w:pPr>
        <w:numPr>
          <w:ilvl w:val="0"/>
          <w:numId w:val="18"/>
        </w:numPr>
        <w:pBdr>
          <w:bottom w:val="single" w:color="auto" w:sz="4" w:space="1"/>
        </w:pBdr>
        <w:shd w:val="clear" w:color="auto" w:fill="ffffff"/>
        <w:spacing w:after="0"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при наличии значимой хронической патологии — последнее заключение профильного специалиста давностью не больше 6 месяцев (например, при онкологическом заболевании – заключение онколога; при хроническом инфекционном заболевании – заключение инфекциониста о возможности пребывания в общетерапевтическом стационаре и т.д.).</w:t>
      </w:r>
    </w:p>
    <w:p>
      <w:pPr>
        <w:tabs>
          <w:tab w:val="left" w:pos="4395"/>
          <w:tab w:val="left" w:pos="5387"/>
          <w:tab w:val="right" w:pos="9072"/>
        </w:tabs>
        <w:spacing w:after="0" w:line="240" w:lineRule="auto"/>
        <w:rPr>
          <w:rFonts w:ascii="Times New Roman" w:cs="Times New Roman" w:hAnsi="Times New Roman"/>
        </w:rPr>
      </w:pPr>
    </w:p>
    <w:p>
      <w:pPr>
        <w:tabs>
          <w:tab w:val="left" w:pos="4395"/>
          <w:tab w:val="left" w:pos="5387"/>
          <w:tab w:val="right" w:pos="9072"/>
        </w:tabs>
        <w:spacing w:before="240" w:after="0" w:line="360" w:lineRule="auto"/>
        <w:ind w:left="-567"/>
        <w:contextualSpacing w:val="on"/>
        <w:jc w:val="right"/>
        <w:rPr>
          <w:color w:val="3a8660"/>
          <w:sz w:val="24"/>
          <w:szCs w:val="24"/>
        </w:rPr>
      </w:pPr>
      <w:r>
        <w:rPr>
          <w:rFonts w:ascii="Times New Roman" w:cs="Times New Roman" w:hAnsi="Times New Roman"/>
          <w:b/>
          <w:color w:val="3a8660"/>
          <w:sz w:val="24"/>
          <w:szCs w:val="24"/>
        </w:rPr>
        <w:t xml:space="preserve">СПб ГБУЗ </w:t>
      </w:r>
      <w:r>
        <w:rPr>
          <w:rFonts w:ascii="Times New Roman" w:cs="Times New Roman" w:hAnsi="Times New Roman"/>
          <w:b/>
          <w:color w:val="3a8660"/>
          <w:sz w:val="24"/>
          <w:szCs w:val="24"/>
        </w:rPr>
        <w:t>«КРБ им. В.А. Насоновой»</w:t>
      </w:r>
    </w:p>
    <w:p>
      <w:pPr>
        <w:tabs>
          <w:tab w:val="left" w:pos="4395"/>
          <w:tab w:val="left" w:pos="5387"/>
          <w:tab w:val="right" w:pos="9072"/>
        </w:tabs>
        <w:spacing w:before="240" w:after="0" w:line="360" w:lineRule="auto"/>
        <w:ind w:left="-567"/>
        <w:contextualSpacing w:val="on"/>
        <w:jc w:val="right"/>
        <w:rPr>
          <w:color w:val="215867" w:themeColor="accent5" w:themeShade="80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Адрес: </w:t>
      </w:r>
      <w:r>
        <w:rPr>
          <w:rFonts w:ascii="Times New Roman" w:cs="Times New Roman" w:hAnsi="Times New Roman"/>
          <w:b/>
          <w:bCs/>
          <w:sz w:val="24"/>
          <w:szCs w:val="24"/>
        </w:rPr>
        <w:t>190068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 xml:space="preserve">г. Санкт-Петербург, </w:t>
      </w:r>
      <w:r>
        <w:rPr>
          <w:rFonts w:ascii="Times New Roman" w:cs="Times New Roman" w:hAnsi="Times New Roman"/>
          <w:b/>
          <w:sz w:val="24"/>
          <w:szCs w:val="24"/>
        </w:rPr>
        <w:t xml:space="preserve">ул. </w:t>
      </w:r>
      <w:r>
        <w:rPr>
          <w:rFonts w:ascii="Times New Roman" w:cs="Times New Roman" w:hAnsi="Times New Roman"/>
          <w:b/>
          <w:sz w:val="24"/>
          <w:szCs w:val="24"/>
        </w:rPr>
        <w:t>Большая</w:t>
      </w:r>
      <w:r>
        <w:rPr>
          <w:rFonts w:ascii="Times New Roman" w:cs="Times New Roman" w:hAnsi="Times New Roman"/>
          <w:b/>
          <w:sz w:val="24"/>
          <w:szCs w:val="24"/>
        </w:rPr>
        <w:t xml:space="preserve"> Подьяческая, д. 30 </w:t>
      </w:r>
    </w:p>
    <w:p>
      <w:pPr>
        <w:tabs>
          <w:tab w:val="left" w:pos="4395"/>
          <w:tab w:val="left" w:pos="5387"/>
          <w:tab w:val="right" w:pos="9072"/>
        </w:tabs>
        <w:spacing w:after="0" w:line="360" w:lineRule="auto"/>
        <w:ind w:left="-54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Сайт: 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www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krb</w:t>
      </w:r>
      <w:r>
        <w:rPr>
          <w:rFonts w:ascii="Times New Roman" w:cs="Times New Roman" w:hAnsi="Times New Roman"/>
          <w:b/>
          <w:bCs/>
          <w:sz w:val="24"/>
          <w:szCs w:val="24"/>
        </w:rPr>
        <w:t>25.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ru</w:t>
      </w:r>
    </w:p>
    <w:p>
      <w:pPr>
        <w:tabs>
          <w:tab w:val="left" w:pos="4395"/>
          <w:tab w:val="left" w:pos="5387"/>
          <w:tab w:val="right" w:pos="9072"/>
        </w:tabs>
        <w:spacing w:after="0" w:line="360" w:lineRule="auto"/>
        <w:ind w:left="-54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Style w:val="Strong"/>
          <w:rFonts w:ascii="Times New Roman" w:cs="Times New Roman" w:hAnsi="Times New Roman"/>
          <w:sz w:val="24"/>
          <w:szCs w:val="24"/>
        </w:rPr>
        <w:t>Телефон: </w:t>
      </w:r>
      <w:r>
        <w:rPr>
          <w:rStyle w:val="Strong"/>
          <w:rFonts w:ascii="Times New Roman" w:cs="Times New Roman" w:hAnsi="Times New Roman"/>
          <w:sz w:val="24"/>
          <w:szCs w:val="24"/>
        </w:rPr>
        <w:t xml:space="preserve"> (812) </w:t>
      </w:r>
      <w:r>
        <w:rPr>
          <w:rStyle w:val="Strong"/>
          <w:rFonts w:ascii="Times New Roman" w:cs="Times New Roman" w:hAnsi="Times New Roman"/>
          <w:sz w:val="24"/>
          <w:szCs w:val="24"/>
        </w:rPr>
        <w:t>670-30-60</w:t>
      </w:r>
    </w:p>
    <w:sectPr>
      <w:pgSz w:w="11906" w:h="16838"/>
      <w:pgMar w:top="426" w:right="566" w:bottom="0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1488" w:hanging="948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668" w:hanging="948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848" w:hanging="948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216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234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306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901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61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21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1">
    <w:multiLevelType w:val="multilevel"/>
    <w:lvl w:ilvl="0" w:tentative="0">
      <w:start w:val="1"/>
      <w:numFmt w:val="decimal"/>
      <w:isLgl w:val="off"/>
      <w:suff w:val="tab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isLgl w:val="off"/>
      <w:suff w:val="tab"/>
      <w:lvlText w:val="%2)"/>
      <w:lvlJc w:val="left"/>
      <w:pPr>
        <w:ind w:left="1080" w:hanging="360"/>
      </w:pPr>
      <w:rPr/>
    </w:lvl>
    <w:lvl w:ilvl="2" w:tentative="1">
      <w:start w:val="1"/>
      <w:numFmt w:val="lowerRoman"/>
      <w:isLgl w:val="off"/>
      <w:suff w:val="tab"/>
      <w:lvlText w:val="%3)"/>
      <w:lvlJc w:val="left"/>
      <w:pPr>
        <w:ind w:left="180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252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324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396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468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40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6120" w:hanging="360"/>
      </w:pPr>
      <w:rPr/>
    </w:lvl>
  </w:abstractNum>
  <w:abstractNum w:abstractNumId="12">
    <w:multiLevelType w:val="multilevel"/>
    <w:lvl w:ilvl="0" w:tentative="0">
      <w:start w:val="1"/>
      <w:numFmt w:val="decimal"/>
      <w:isLgl w:val="off"/>
      <w:suff w:val="tab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isLgl w:val="off"/>
      <w:suff w:val="tab"/>
      <w:lvlText w:val="%2)"/>
      <w:lvlJc w:val="left"/>
      <w:pPr>
        <w:ind w:left="1080" w:hanging="360"/>
      </w:pPr>
      <w:rPr/>
    </w:lvl>
    <w:lvl w:ilvl="2" w:tentative="1">
      <w:start w:val="1"/>
      <w:numFmt w:val="lowerRoman"/>
      <w:isLgl w:val="off"/>
      <w:suff w:val="tab"/>
      <w:lvlText w:val="%3)"/>
      <w:lvlJc w:val="left"/>
      <w:pPr>
        <w:ind w:left="180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252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324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396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468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40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6120" w:hanging="360"/>
      </w:pPr>
      <w:rPr/>
    </w:lvl>
  </w:abstractNum>
  <w:abstractNum w:abstractNumId="13">
    <w:multiLevelType w:val="multilevel"/>
    <w:lvl w:ilvl="0" w:tentative="0">
      <w:start w:val="1"/>
      <w:numFmt w:val="decimal"/>
      <w:isLgl w:val="off"/>
      <w:suff w:val="tab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isLgl w:val="off"/>
      <w:suff w:val="tab"/>
      <w:lvlText w:val="%2)"/>
      <w:lvlJc w:val="left"/>
      <w:pPr>
        <w:ind w:left="1080" w:hanging="360"/>
      </w:pPr>
      <w:rPr/>
    </w:lvl>
    <w:lvl w:ilvl="2" w:tentative="1">
      <w:start w:val="1"/>
      <w:numFmt w:val="lowerRoman"/>
      <w:isLgl w:val="off"/>
      <w:suff w:val="tab"/>
      <w:lvlText w:val="%3)"/>
      <w:lvlJc w:val="left"/>
      <w:pPr>
        <w:ind w:left="180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252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324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396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468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40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6120" w:hanging="360"/>
      </w:pPr>
      <w:rPr/>
    </w:lvl>
  </w:abstractNum>
  <w:abstractNum w:abstractNumId="14">
    <w:multiLevelType w:val="multilevel"/>
    <w:lvl w:ilvl="0" w:tentative="0">
      <w:start w:val="1"/>
      <w:numFmt w:val="decimal"/>
      <w:isLgl w:val="off"/>
      <w:suff w:val="tab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isLgl w:val="off"/>
      <w:suff w:val="tab"/>
      <w:lvlText w:val="%2)"/>
      <w:lvlJc w:val="left"/>
      <w:pPr>
        <w:ind w:left="1080" w:hanging="360"/>
      </w:pPr>
      <w:rPr/>
    </w:lvl>
    <w:lvl w:ilvl="2" w:tentative="1">
      <w:start w:val="1"/>
      <w:numFmt w:val="lowerRoman"/>
      <w:isLgl w:val="off"/>
      <w:suff w:val="tab"/>
      <w:lvlText w:val="%3)"/>
      <w:lvlJc w:val="left"/>
      <w:pPr>
        <w:ind w:left="180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252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324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396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468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40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6120" w:hanging="360"/>
      </w:pPr>
      <w:rPr/>
    </w:lvl>
  </w:abstractNum>
  <w:abstractNum w:abstractNumId="15">
    <w:multiLevelType w:val="multilevel"/>
    <w:lvl w:ilvl="0" w:tentative="0">
      <w:start w:val="1"/>
      <w:numFmt w:val="decimal"/>
      <w:isLgl w:val="off"/>
      <w:suff w:val="tab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isLgl w:val="off"/>
      <w:suff w:val="tab"/>
      <w:lvlText w:val="%2)"/>
      <w:lvlJc w:val="left"/>
      <w:pPr>
        <w:ind w:left="1080" w:hanging="360"/>
      </w:pPr>
      <w:rPr/>
    </w:lvl>
    <w:lvl w:ilvl="2" w:tentative="1">
      <w:start w:val="1"/>
      <w:numFmt w:val="lowerRoman"/>
      <w:isLgl w:val="off"/>
      <w:suff w:val="tab"/>
      <w:lvlText w:val="%3)"/>
      <w:lvlJc w:val="left"/>
      <w:pPr>
        <w:ind w:left="180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252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324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396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468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40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6120" w:hanging="360"/>
      </w:pPr>
      <w:rPr/>
    </w:lvl>
  </w:abstractNum>
  <w:abstractNum w:abstractNumId="16">
    <w:multiLevelType w:val="multilevel"/>
    <w:lvl w:ilvl="0" w:tentative="0">
      <w:start w:val="1"/>
      <w:numFmt w:val="decimal"/>
      <w:isLgl w:val="off"/>
      <w:suff w:val="tab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isLgl w:val="off"/>
      <w:suff w:val="tab"/>
      <w:lvlText w:val="%2)"/>
      <w:lvlJc w:val="left"/>
      <w:pPr>
        <w:ind w:left="1080" w:hanging="360"/>
      </w:pPr>
      <w:rPr/>
    </w:lvl>
    <w:lvl w:ilvl="2" w:tentative="1">
      <w:start w:val="1"/>
      <w:numFmt w:val="lowerRoman"/>
      <w:isLgl w:val="off"/>
      <w:suff w:val="tab"/>
      <w:lvlText w:val="%3)"/>
      <w:lvlJc w:val="left"/>
      <w:pPr>
        <w:ind w:left="1800" w:hanging="360"/>
      </w:pPr>
      <w:rPr/>
    </w:lvl>
    <w:lvl w:ilvl="3" w:tentative="1">
      <w:start w:val="1"/>
      <w:numFmt w:val="decimal"/>
      <w:isLgl w:val="off"/>
      <w:suff w:val="tab"/>
      <w:lvlText w:val="(%4)"/>
      <w:lvlJc w:val="left"/>
      <w:pPr>
        <w:ind w:left="2520" w:hanging="360"/>
      </w:pPr>
      <w:rPr/>
    </w:lvl>
    <w:lvl w:ilvl="4" w:tentative="1">
      <w:start w:val="1"/>
      <w:numFmt w:val="lowerLetter"/>
      <w:isLgl w:val="off"/>
      <w:suff w:val="tab"/>
      <w:lvlText w:val="(%5)"/>
      <w:lvlJc w:val="left"/>
      <w:pPr>
        <w:ind w:left="3240" w:hanging="360"/>
      </w:pPr>
      <w:rPr/>
    </w:lvl>
    <w:lvl w:ilvl="5" w:tentative="1">
      <w:start w:val="1"/>
      <w:numFmt w:val="lowerRoman"/>
      <w:isLgl w:val="off"/>
      <w:suff w:val="tab"/>
      <w:lvlText w:val="(%6)"/>
      <w:lvlJc w:val="left"/>
      <w:pPr>
        <w:ind w:left="396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468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400" w:hanging="360"/>
      </w:pPr>
      <w:rPr/>
    </w:lvl>
    <w:lvl w:ilvl="8" w:tentative="1">
      <w:start w:val="1"/>
      <w:numFmt w:val="lowerRoman"/>
      <w:isLgl w:val="off"/>
      <w:suff w:val="tab"/>
      <w:lvlText w:val="%9."/>
      <w:lvlJc w:val="left"/>
      <w:pPr>
        <w:ind w:left="6120" w:hanging="360"/>
      </w:pPr>
      <w:rPr/>
    </w:lvl>
  </w:abstractNum>
  <w:abstractNum w:abstractNumId="17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52E01"/>
    <w:rsid w:val="000051D2"/>
    <w:rsid w:val="00043650"/>
    <w:rsid w:val="00052E01"/>
    <w:rsid w:val="00147800"/>
    <w:rsid w:val="001B771D"/>
    <w:rsid w:val="00205202"/>
    <w:rsid w:val="0025133E"/>
    <w:rsid w:val="00252227"/>
    <w:rsid w:val="002529AE"/>
    <w:rsid w:val="002666A6"/>
    <w:rsid w:val="00280C29"/>
    <w:rsid w:val="003578E6"/>
    <w:rsid w:val="003F79B7"/>
    <w:rsid w:val="004153B7"/>
    <w:rsid w:val="004B1411"/>
    <w:rsid w:val="0051154F"/>
    <w:rsid w:val="00520F88"/>
    <w:rsid w:val="0057709E"/>
    <w:rsid w:val="00590C46"/>
    <w:rsid w:val="005C2ADD"/>
    <w:rsid w:val="005E7F9C"/>
    <w:rsid w:val="00611D4F"/>
    <w:rsid w:val="00646312"/>
    <w:rsid w:val="00656F6C"/>
    <w:rsid w:val="00674F8C"/>
    <w:rsid w:val="006E12CA"/>
    <w:rsid w:val="007072CA"/>
    <w:rsid w:val="00721C29"/>
    <w:rsid w:val="00760E4B"/>
    <w:rsid w:val="007D1509"/>
    <w:rsid w:val="007D27A1"/>
    <w:rsid w:val="008F11E8"/>
    <w:rsid w:val="008F7BEC"/>
    <w:rsid w:val="00914222"/>
    <w:rsid w:val="00957F5F"/>
    <w:rsid w:val="009B7B61"/>
    <w:rsid w:val="00A05471"/>
    <w:rsid w:val="00A730BF"/>
    <w:rsid w:val="00AA5BEE"/>
    <w:rsid w:val="00AD642F"/>
    <w:rsid w:val="00B027FD"/>
    <w:rsid w:val="00B95046"/>
    <w:rsid w:val="00BC6837"/>
    <w:rsid w:val="00BF3456"/>
    <w:rsid w:val="00C02039"/>
    <w:rsid w:val="00C47B9C"/>
    <w:rsid w:val="00C919F1"/>
    <w:rsid w:val="00CE775F"/>
    <w:rsid w:val="00D6681B"/>
    <w:rsid w:val="00DE5C18"/>
    <w:rsid w:val="00E044A7"/>
    <w:rsid w:val="00E41406"/>
    <w:rsid w:val="00E461D9"/>
    <w:rsid w:val="00E67810"/>
    <w:rsid w:val="00E7070A"/>
    <w:rsid w:val="00E87D75"/>
    <w:rsid w:val="00E9450D"/>
    <w:rsid w:val="00F138FB"/>
    <w:rsid w:val="00F54B2C"/>
    <w:rsid w:val="00F571AF"/>
    <w:rsid w:val="00F60C82"/>
    <w:rsid w:val="00F613EB"/>
    <w:rsid w:val="00F73F7E"/>
    <w:rsid w:val="00FB2307"/>
    <w:rsid w:val="00FB7CCC"/>
    <w:rsid w:val="00FC2207"/>
    <w:rsid w:val="00FC5909"/>
    <w:rsid w:val="00FE1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Заголовок11">
    <w:name w:val="Заголовок 1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customStyle="1" w:styleId="Заголовок21">
    <w:name w:val="Заголовок 21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customStyle="1" w:styleId="Заголовок31">
    <w:name w:val="Заголовок 31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customStyle="1" w:styleId="Заголовок41">
    <w:name w:val="Заголовок 41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customStyle="1" w:styleId="Заголовок51">
    <w:name w:val="Заголовок 51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customStyle="1" w:styleId="Заголовок61">
    <w:name w:val="Заголовок 61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customStyle="1" w:styleId="Заголовок71">
    <w:name w:val="Заголовок 71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customStyle="1" w:styleId="Заголовок81">
    <w:name w:val="Заголовок 81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customStyle="1" w:styleId="Заголовок91">
    <w:name w:val="Заголовок 91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Заголовок1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Заголовок21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Заголовок31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Заголовок41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Заголовок51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Заголовок61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Заголовок71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Заголовок81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Заголовок91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НазваниеЗнак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customStyle="1" w:styleId="Текстсноски1">
    <w:name w:val="Текст сноски1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Текстсноски1"/>
    <w:uiPriority w:val="99"/>
    <w:semiHidden w:val="on"/>
    <w:rPr>
      <w:sz w:val="20"/>
      <w:szCs w:val="20"/>
    </w:rPr>
  </w:style>
  <w:style w:type="character" w:customStyle="1" w:styleId="Знаксноски1">
    <w:name w:val="Знак сноски1"/>
    <w:uiPriority w:val="99"/>
    <w:semiHidden w:val="on"/>
    <w:unhideWhenUsed w:val="on"/>
    <w:rPr>
      <w:vertAlign w:val="superscript"/>
    </w:rPr>
  </w:style>
  <w:style w:type="paragraph" w:customStyle="1" w:styleId="Текстконцевойсноски1">
    <w:name w:val="Текст концевой сноски1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Текстконцевойсноски1"/>
    <w:uiPriority w:val="99"/>
    <w:semiHidden w:val="on"/>
    <w:rPr>
      <w:sz w:val="20"/>
      <w:szCs w:val="20"/>
    </w:rPr>
  </w:style>
  <w:style w:type="character" w:customStyle="1" w:styleId="Знакконцевойсноски1">
    <w:name w:val="Знак концевой сноски1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Верхнийколонтитул1">
    <w:name w:val="Верхний колонтитул1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Верхнийколонтитул1"/>
    <w:uiPriority w:val="99"/>
  </w:style>
  <w:style w:type="paragraph" w:customStyle="1" w:styleId="Нижнийколонтитул1">
    <w:name w:val="Нижний колонтитул1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Нижнийколонтитул1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3" Type="http://schemas.openxmlformats.org/officeDocument/2006/relationships/image" Target="media/image1.pn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krb25.ru/normativnye-dokumenty/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APO-KAB28</dc:creator>
  <cp:lastModifiedBy>Мария Кривенко</cp:lastModifiedBy>
</cp:coreProperties>
</file>